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tabs>
          <w:tab w:val="center" w:leader="none" w:pos="4419"/>
          <w:tab w:val="right" w:leader="none" w:pos="8838"/>
        </w:tabs>
        <w:spacing w:after="0" w:line="240" w:lineRule="auto"/>
        <w:ind w:hanging="709"/>
        <w:jc w:val="center"/>
        <w:rPr>
          <w:rFonts w:ascii="Palatino Linotype" w:cs="Palatino Linotype" w:eastAsia="Palatino Linotype" w:hAnsi="Palatino Linotype"/>
        </w:rPr>
      </w:pPr>
      <w:r w:rsidDel="00000000" w:rsidR="00000000" w:rsidRPr="00000000">
        <w:rPr>
          <w:rFonts w:ascii="Palatino Linotype" w:cs="Palatino Linotype" w:eastAsia="Palatino Linotype" w:hAnsi="Palatino Linotype"/>
          <w:b w:val="1"/>
          <w:rtl w:val="0"/>
        </w:rPr>
        <w:t xml:space="preserve">FICHA TÉCNICA</w:t>
      </w:r>
      <w:r w:rsidDel="00000000" w:rsidR="00000000" w:rsidRPr="00000000">
        <w:rPr>
          <w:rtl w:val="0"/>
        </w:rPr>
      </w:r>
    </w:p>
    <w:tbl>
      <w:tblPr>
        <w:tblStyle w:val="Table1"/>
        <w:tblW w:w="14025.0" w:type="dxa"/>
        <w:jc w:val="left"/>
        <w:tblInd w:w="-645.0" w:type="dxa"/>
        <w:tblLayout w:type="fixed"/>
        <w:tblLook w:val="0400"/>
      </w:tblPr>
      <w:tblGrid>
        <w:gridCol w:w="6015"/>
        <w:gridCol w:w="3450"/>
        <w:gridCol w:w="4560"/>
        <w:tblGridChange w:id="0">
          <w:tblGrid>
            <w:gridCol w:w="6015"/>
            <w:gridCol w:w="3450"/>
            <w:gridCol w:w="4560"/>
          </w:tblGrid>
        </w:tblGridChange>
      </w:tblGrid>
      <w:tr>
        <w:trPr>
          <w:cantSplit w:val="0"/>
          <w:trHeight w:val="653.61328125" w:hRule="atLeast"/>
          <w:tblHeader w:val="1"/>
        </w:trPr>
        <w:tc>
          <w:tcPr>
            <w:vMerge w:val="restart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</w:tcPr>
          <w:p w:rsidR="00000000" w:rsidDel="00000000" w:rsidP="00000000" w:rsidRDefault="00000000" w:rsidRPr="00000000" w14:paraId="00000002">
            <w:pPr>
              <w:spacing w:after="0" w:line="240" w:lineRule="auto"/>
              <w:jc w:val="center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</w:rPr>
              <w:drawing>
                <wp:inline distB="114300" distT="114300" distL="114300" distR="114300">
                  <wp:extent cx="2985531" cy="2081119"/>
                  <wp:effectExtent b="0" l="0" r="0" t="0"/>
                  <wp:docPr id="329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531" cy="20811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b w:val="1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rtl w:val="0"/>
              </w:rPr>
              <w:t xml:space="preserve">Nombre de la práctica: </w:t>
            </w:r>
          </w:p>
          <w:p w:rsidR="00000000" w:rsidDel="00000000" w:rsidP="00000000" w:rsidRDefault="00000000" w:rsidRPr="00000000" w14:paraId="00000004">
            <w:pPr>
              <w:spacing w:after="0" w:line="240" w:lineRule="auto"/>
              <w:ind w:left="283.4645669291342" w:firstLine="0"/>
              <w:jc w:val="center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Turismo</w:t>
            </w:r>
          </w:p>
        </w:tc>
      </w:tr>
      <w:tr>
        <w:trPr>
          <w:cantSplit w:val="0"/>
          <w:trHeight w:val="653.61328125" w:hRule="atLeast"/>
          <w:tblHeader w:val="1"/>
        </w:trPr>
        <w:tc>
          <w:tcPr>
            <w:vMerge w:val="continue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Nombre del Sujeto Obligado</w:t>
            </w:r>
          </w:p>
          <w:p w:rsidR="00000000" w:rsidDel="00000000" w:rsidP="00000000" w:rsidRDefault="00000000" w:rsidRPr="00000000" w14:paraId="00000008">
            <w:pPr>
              <w:spacing w:after="0" w:line="240" w:lineRule="auto"/>
              <w:ind w:left="141.7322834645671" w:firstLine="0"/>
              <w:jc w:val="center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Ayuntamiento de Tenancingo</w:t>
            </w:r>
          </w:p>
        </w:tc>
      </w:tr>
      <w:tr>
        <w:trPr>
          <w:cantSplit w:val="0"/>
          <w:trHeight w:val="540" w:hRule="atLeast"/>
          <w:tblHeader w:val="1"/>
        </w:trPr>
        <w:tc>
          <w:tcPr>
            <w:vMerge w:val="continue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Área responsable de la práctica</w:t>
            </w:r>
          </w:p>
          <w:p w:rsidR="00000000" w:rsidDel="00000000" w:rsidP="00000000" w:rsidRDefault="00000000" w:rsidRPr="00000000" w14:paraId="0000000C">
            <w:pPr>
              <w:spacing w:after="0" w:line="240" w:lineRule="auto"/>
              <w:ind w:left="141.7322834645671" w:firstLine="0"/>
              <w:jc w:val="center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Dirección de Turismo y Unidad de Transparencia</w:t>
            </w:r>
          </w:p>
        </w:tc>
      </w:tr>
      <w:tr>
        <w:trPr>
          <w:cantSplit w:val="0"/>
          <w:trHeight w:val="705" w:hRule="atLeast"/>
          <w:tblHeader w:val="1"/>
        </w:trPr>
        <w:tc>
          <w:tcPr>
            <w:vMerge w:val="continue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Disponible para su consulta en:</w:t>
            </w:r>
          </w:p>
          <w:p w:rsidR="00000000" w:rsidDel="00000000" w:rsidP="00000000" w:rsidRDefault="00000000" w:rsidRPr="00000000" w14:paraId="00000010">
            <w:pPr>
              <w:spacing w:after="0" w:lineRule="auto"/>
              <w:jc w:val="center"/>
              <w:rPr>
                <w:rFonts w:ascii="Palatino Linotype" w:cs="Palatino Linotype" w:eastAsia="Palatino Linotype" w:hAnsi="Palatino Linotype"/>
                <w:highlight w:val="white"/>
              </w:rPr>
            </w:pPr>
            <w:hyperlink r:id="rId8">
              <w:r w:rsidDel="00000000" w:rsidR="00000000" w:rsidRPr="00000000">
                <w:rPr>
                  <w:rFonts w:ascii="Palatino Linotype" w:cs="Palatino Linotype" w:eastAsia="Palatino Linotype" w:hAnsi="Palatino Linotype"/>
                  <w:color w:val="1155cc"/>
                  <w:highlight w:val="white"/>
                  <w:u w:val="single"/>
                  <w:rtl w:val="0"/>
                </w:rPr>
                <w:t xml:space="preserve">https://tenancingo.gob.mx/Turismo.html</w:t>
              </w:r>
            </w:hyperlink>
            <w:r w:rsidDel="00000000" w:rsidR="00000000" w:rsidRPr="00000000">
              <w:rPr>
                <w:rFonts w:ascii="Palatino Linotype" w:cs="Palatino Linotype" w:eastAsia="Palatino Linotype" w:hAnsi="Palatino Linotype"/>
                <w:highlight w:val="white"/>
                <w:rtl w:val="0"/>
              </w:rPr>
              <w:t xml:space="preserve"> </w:t>
            </w:r>
          </w:p>
        </w:tc>
      </w:tr>
      <w:tr>
        <w:trPr>
          <w:cantSplit w:val="0"/>
          <w:trHeight w:val="420" w:hRule="atLeast"/>
          <w:tblHeader w:val="1"/>
        </w:trPr>
        <w:tc>
          <w:tcPr>
            <w:vMerge w:val="continue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Periodo: 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Vigente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Alcance:  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Municipal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1"/>
        </w:trPr>
        <w:tc>
          <w:tcPr>
            <w:vMerge w:val="continue"/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Lugar: 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Estado de 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México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Puntuación total: 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100</w:t>
            </w:r>
          </w:p>
        </w:tc>
      </w:tr>
    </w:tbl>
    <w:p w:rsidR="00000000" w:rsidDel="00000000" w:rsidP="00000000" w:rsidRDefault="00000000" w:rsidRPr="00000000" w14:paraId="00000018">
      <w:pPr>
        <w:spacing w:after="0" w:lineRule="auto"/>
        <w:jc w:val="left"/>
        <w:rPr>
          <w:rFonts w:ascii="Palatino Linotype" w:cs="Palatino Linotype" w:eastAsia="Palatino Linotype" w:hAnsi="Palatino Linotype"/>
          <w:b w:val="1"/>
        </w:rPr>
      </w:pPr>
      <w:bookmarkStart w:colFirst="0" w:colLast="0" w:name="_heading=h.30j0zll" w:id="0"/>
      <w:bookmarkEnd w:id="0"/>
      <w:r w:rsidDel="00000000" w:rsidR="00000000" w:rsidRPr="00000000">
        <w:rPr>
          <w:rtl w:val="0"/>
        </w:rPr>
      </w:r>
    </w:p>
    <w:tbl>
      <w:tblPr>
        <w:tblStyle w:val="Table2"/>
        <w:tblW w:w="13905.0" w:type="dxa"/>
        <w:jc w:val="left"/>
        <w:tblInd w:w="-572.0" w:type="dxa"/>
        <w:tblLayout w:type="fixed"/>
        <w:tblLook w:val="0400"/>
      </w:tblPr>
      <w:tblGrid>
        <w:gridCol w:w="6165"/>
        <w:gridCol w:w="7740"/>
        <w:tblGridChange w:id="0">
          <w:tblGrid>
            <w:gridCol w:w="6165"/>
            <w:gridCol w:w="7740"/>
          </w:tblGrid>
        </w:tblGridChange>
      </w:tblGrid>
      <w:tr>
        <w:trPr>
          <w:cantSplit w:val="0"/>
          <w:trHeight w:val="945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¿Qué es y cómo funciona la práctica?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Es un micrositio donde el ciudadano puede navegar y acceder de manera fácil y accesible a datos de interés sobre Turismo, anexando apartados de Hospedaje y Restaurantes, Ferias Patronales, Festividades y Artesanías del municipio. Presenta información en formato de datos abiertos CSV y promueve la participación ciudadana mediante una encuesta de satisfacción de los contenidos publicados.</w:t>
            </w:r>
          </w:p>
        </w:tc>
      </w:tr>
      <w:tr>
        <w:trPr>
          <w:cantSplit w:val="0"/>
          <w:trHeight w:val="932.41430664062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Objetivo:</w:t>
            </w:r>
          </w:p>
          <w:p w:rsidR="00000000" w:rsidDel="00000000" w:rsidP="00000000" w:rsidRDefault="00000000" w:rsidRPr="00000000" w14:paraId="0000001D">
            <w:pPr>
              <w:spacing w:after="0" w:line="240" w:lineRule="auto"/>
              <w:ind w:left="0" w:firstLine="0"/>
              <w:jc w:val="both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Dar a conocer información turística a los ciudadanos de los atractivos turísticos que tiene el municipio.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¿Por qué se desarrolló?</w:t>
            </w:r>
          </w:p>
          <w:p w:rsidR="00000000" w:rsidDel="00000000" w:rsidP="00000000" w:rsidRDefault="00000000" w:rsidRPr="00000000" w14:paraId="0000001F">
            <w:pPr>
              <w:spacing w:after="0" w:line="240" w:lineRule="auto"/>
              <w:ind w:left="0" w:firstLine="0"/>
              <w:jc w:val="both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De la necesidad de difusión de lo que ofrece el municipio al turista logrando con ello el aumento del desarrollo económico.</w:t>
            </w:r>
          </w:p>
        </w:tc>
      </w:tr>
      <w:tr>
        <w:trPr>
          <w:cantSplit w:val="0"/>
          <w:trHeight w:val="992.414306640625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highlight w:val="white"/>
                <w:u w:val="none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Beneficios o e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highlight w:val="white"/>
                <w:u w:val="none"/>
                <w:vertAlign w:val="baseline"/>
                <w:rtl w:val="0"/>
              </w:rPr>
              <w:t xml:space="preserve">fectos positivos generados a partir de la información difundida.</w:t>
            </w:r>
          </w:p>
          <w:p w:rsidR="00000000" w:rsidDel="00000000" w:rsidP="00000000" w:rsidRDefault="00000000" w:rsidRPr="00000000" w14:paraId="00000021">
            <w:pPr>
              <w:ind w:left="0" w:firstLine="0"/>
              <w:jc w:val="both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Tras la creación del sitio web de la práctica se ha logrado la atracción de los turistas aumentando el desarrollo económico, mayor auge y nutridas las festividades celebradas, se ha beneficiado en su totalidad ambas partes municipio y turistas.</w:t>
            </w:r>
          </w:p>
        </w:tc>
      </w:tr>
      <w:tr>
        <w:trPr>
          <w:cantSplit w:val="0"/>
          <w:trHeight w:val="1208.6132812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¿La práctica cuenta con mecanismos de participación ciudadana durante el proceso?</w:t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Si, a través de su encuesta de satisfacción que aplican al término en el micrositio.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</w:tcPr>
          <w:p w:rsidR="00000000" w:rsidDel="00000000" w:rsidP="00000000" w:rsidRDefault="00000000" w:rsidRPr="00000000" w14:paraId="00000025">
            <w:pPr>
              <w:spacing w:after="0" w:line="240" w:lineRule="auto"/>
              <w:ind w:left="0" w:firstLine="0"/>
              <w:jc w:val="both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rtl w:val="0"/>
              </w:rPr>
              <w:t xml:space="preserve">¿La práctica cuenta con algún registro del número de consultas realizadas a la información difundida?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spacing w:after="0" w:lineRule="auto"/>
              <w:ind w:left="0" w:firstLine="0"/>
              <w:jc w:val="both"/>
              <w:rPr>
                <w:rFonts w:ascii="Palatino Linotype" w:cs="Palatino Linotype" w:eastAsia="Palatino Linotype" w:hAnsi="Palatino Linotyp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Si, cuenta con contador de visitas.</w:t>
            </w:r>
          </w:p>
        </w:tc>
      </w:tr>
      <w:tr>
        <w:trPr>
          <w:cantSplit w:val="0"/>
          <w:trHeight w:val="975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70.0" w:type="dxa"/>
              <w:bottom w:w="0.0" w:type="dxa"/>
              <w:right w:w="70.0" w:type="dxa"/>
            </w:tcMar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Palatino Linotype" w:cs="Palatino Linotype" w:eastAsia="Palatino Linotype" w:hAnsi="Palatino Linotype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rtl w:val="0"/>
              </w:rPr>
              <w:t xml:space="preserve">Observaciones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b w:val="1"/>
                <w:i w:val="0"/>
                <w:smallCaps w:val="0"/>
                <w:strike w:val="0"/>
                <w:color w:val="000000"/>
                <w:u w:val="none"/>
                <w:shd w:fill="auto" w:val="clear"/>
                <w:vertAlign w:val="baseline"/>
                <w:rtl w:val="0"/>
              </w:rPr>
              <w:t xml:space="preserve">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spacing w:after="0" w:line="240" w:lineRule="auto"/>
              <w:jc w:val="both"/>
              <w:rPr>
                <w:rFonts w:ascii="Palatino Linotype" w:cs="Palatino Linotype" w:eastAsia="Palatino Linotype" w:hAnsi="Palatino Linotype"/>
                <w:highlight w:val="yellow"/>
              </w:rPr>
            </w:pP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Derivado de la información remitida, se advierte que cuenta con los elementos suficientes para considerarse una Práctica de Transparencia Proactiva, al apreciarse los atributos de calidad de la información, la 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color w:val="1f1f1f"/>
                <w:highlight w:val="white"/>
                <w:rtl w:val="0"/>
              </w:rPr>
              <w:t xml:space="preserve">contabilización de consultas, la participación ciudadana, los efectos positivos y los medios alternos de difusión de la información.</w:t>
            </w:r>
            <w:r w:rsidDel="00000000" w:rsidR="00000000" w:rsidRPr="00000000">
              <w:rPr>
                <w:rFonts w:ascii="Palatino Linotype" w:cs="Palatino Linotype" w:eastAsia="Palatino Linotype" w:hAnsi="Palatino Linotyp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A">
      <w:pPr>
        <w:spacing w:after="0" w:line="240" w:lineRule="auto"/>
        <w:ind w:left="-708" w:firstLine="0"/>
        <w:jc w:val="left"/>
        <w:rPr>
          <w:rFonts w:ascii="Palatino Linotype" w:cs="Palatino Linotype" w:eastAsia="Palatino Linotype" w:hAnsi="Palatino Linotype"/>
          <w:b w:val="1"/>
        </w:rPr>
      </w:pPr>
      <w:bookmarkStart w:colFirst="0" w:colLast="0" w:name="_heading=h.57j57ri8u14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after="0" w:line="240" w:lineRule="auto"/>
        <w:ind w:left="-708" w:firstLine="0"/>
        <w:jc w:val="center"/>
        <w:rPr>
          <w:rFonts w:ascii="Palatino Linotype" w:cs="Palatino Linotype" w:eastAsia="Palatino Linotype" w:hAnsi="Palatino Linotype"/>
          <w:b w:val="1"/>
        </w:rPr>
      </w:pPr>
      <w:bookmarkStart w:colFirst="0" w:colLast="0" w:name="_heading=h.y2fdnbofth29" w:id="2"/>
      <w:bookmarkEnd w:id="2"/>
      <w:r w:rsidDel="00000000" w:rsidR="00000000" w:rsidRPr="00000000">
        <w:rPr>
          <w:rFonts w:ascii="Palatino Linotype" w:cs="Palatino Linotype" w:eastAsia="Palatino Linotype" w:hAnsi="Palatino Linotype"/>
          <w:b w:val="1"/>
          <w:rtl w:val="0"/>
        </w:rPr>
        <w:t xml:space="preserve">EVALUACIÓN</w:t>
      </w:r>
    </w:p>
    <w:sdt>
      <w:sdtPr>
        <w:lock w:val="contentLocked"/>
        <w:tag w:val="goog_rdk_0"/>
      </w:sdtPr>
      <w:sdtContent>
        <w:tbl>
          <w:tblPr>
            <w:tblStyle w:val="Table3"/>
            <w:tblW w:w="14070.0" w:type="dxa"/>
            <w:jc w:val="left"/>
            <w:tblInd w:w="-768.0000000000001" w:type="dxa"/>
            <w:tbl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  <w:insideH w:color="000000" w:space="0" w:sz="8" w:val="single"/>
              <w:insideV w:color="000000" w:space="0" w:sz="8" w:val="single"/>
            </w:tblBorders>
            <w:tblLayout w:type="fixed"/>
            <w:tblLook w:val="0600"/>
          </w:tblPr>
          <w:tblGrid>
            <w:gridCol w:w="4200"/>
            <w:gridCol w:w="1260"/>
            <w:gridCol w:w="3300"/>
            <w:gridCol w:w="5310"/>
            <w:tblGridChange w:id="0">
              <w:tblGrid>
                <w:gridCol w:w="4200"/>
                <w:gridCol w:w="1260"/>
                <w:gridCol w:w="3300"/>
                <w:gridCol w:w="5310"/>
              </w:tblGrid>
            </w:tblGridChange>
          </w:tblGrid>
          <w:tr>
            <w:trPr>
              <w:cantSplit w:val="0"/>
              <w:trHeight w:val="420" w:hRule="atLeast"/>
              <w:tblHeader w:val="0"/>
            </w:trPr>
            <w:tc>
              <w:tcPr>
                <w:shd w:fill="d9d9d9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2C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CRITERIOS A EVALUAR</w:t>
                </w:r>
              </w:p>
            </w:tc>
            <w:tc>
              <w:tcPr>
                <w:shd w:fill="cccccc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2D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PUNTOS</w:t>
                </w:r>
              </w:p>
            </w:tc>
            <w:tc>
              <w:tcPr>
                <w:shd w:fill="cccccc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2E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COMENTARIOS</w:t>
                </w:r>
              </w:p>
            </w:tc>
            <w:tc>
              <w:tcPr>
                <w:shd w:fill="cccccc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2F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EVIDENCIA</w:t>
                </w:r>
              </w:p>
            </w:tc>
          </w:tr>
          <w:tr>
            <w:trPr>
              <w:cantSplit w:val="0"/>
              <w:trHeight w:val="420" w:hRule="atLeast"/>
              <w:tblHeader w:val="0"/>
            </w:trPr>
            <w:tc>
              <w:tcPr>
                <w:gridSpan w:val="4"/>
                <w:tcBorders>
                  <w:bottom w:color="000000" w:space="0" w:sz="8" w:val="single"/>
                </w:tcBorders>
                <w:shd w:fill="d9d9d9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30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1. Calidad de la información (0 a 4)</w:t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34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Accesible</w:t>
                </w:r>
              </w:p>
              <w:p w:rsidR="00000000" w:rsidDel="00000000" w:rsidP="00000000" w:rsidRDefault="00000000" w:rsidRPr="00000000" w14:paraId="00000035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esté presentada de tal manera que todas las personas puedan consultarla,</w:t>
                </w:r>
              </w:p>
              <w:p w:rsidR="00000000" w:rsidDel="00000000" w:rsidP="00000000" w:rsidRDefault="00000000" w:rsidRPr="00000000" w14:paraId="00000036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examinarla y utilizarla independientemente de sus capacidades técnicas, cognitivas o</w:t>
                </w:r>
              </w:p>
              <w:p w:rsidR="00000000" w:rsidDel="00000000" w:rsidP="00000000" w:rsidRDefault="00000000" w:rsidRPr="00000000" w14:paraId="00000037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físicas</w:t>
                </w:r>
                <w:r w:rsidDel="00000000" w:rsidR="00000000" w:rsidRPr="00000000">
                  <w:rPr>
                    <w:rtl w:val="0"/>
                  </w:rPr>
                </w:r>
              </w:p>
            </w:tc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38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39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Cualquier persona puede consultarlo y se encuentra alojado en la página oficial del Sujeto Obligado.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3A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563177" cy="1532014"/>
                      <wp:effectExtent b="0" l="0" r="0" t="0"/>
                      <wp:docPr id="331" name="image18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8.png"/>
                              <pic:cNvPicPr preferRelativeResize="0"/>
                            </pic:nvPicPr>
                            <pic:blipFill>
                              <a:blip r:embed="rId9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63177" cy="153201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3B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Confiable</w:t>
                </w:r>
              </w:p>
              <w:p w:rsidR="00000000" w:rsidDel="00000000" w:rsidP="00000000" w:rsidRDefault="00000000" w:rsidRPr="00000000" w14:paraId="0000003C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sea creíble y fidedigna y que proporcione elementos y/o datos que</w:t>
                </w:r>
              </w:p>
              <w:p w:rsidR="00000000" w:rsidDel="00000000" w:rsidP="00000000" w:rsidRDefault="00000000" w:rsidRPr="00000000" w14:paraId="0000003D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permiten la identificación de su origen, fecha de generación, de emisión y difusión de la</w:t>
                </w:r>
              </w:p>
              <w:p w:rsidR="00000000" w:rsidDel="00000000" w:rsidP="00000000" w:rsidRDefault="00000000" w:rsidRPr="00000000" w14:paraId="0000003E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misma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3F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40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La información es vigente y  se ha difundido de manera reciente.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41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609850" cy="431800"/>
                      <wp:effectExtent b="0" l="0" r="0" t="0"/>
                      <wp:docPr id="330" name="image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4.png"/>
                              <pic:cNvPicPr preferRelativeResize="0"/>
                            </pic:nvPicPr>
                            <pic:blipFill>
                              <a:blip r:embed="rId10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09850" cy="4318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2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  <w:rtl w:val="0"/>
                  </w:rPr>
                  <w:t xml:space="preserve">Información extraída del formulario enviado por el sujeto obligado.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645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43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Comprensible</w:t>
                </w:r>
              </w:p>
              <w:p w:rsidR="00000000" w:rsidDel="00000000" w:rsidP="00000000" w:rsidRDefault="00000000" w:rsidRPr="00000000" w14:paraId="00000044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es sencilla, clara y entendible para cualquier persona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45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46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La información contenida en el sitio web es presentada en un lenguaje sencillo y fácil de entender.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47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229802" cy="2348870"/>
                      <wp:effectExtent b="0" l="0" r="0" t="0"/>
                      <wp:docPr id="333" name="image11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1.png"/>
                              <pic:cNvPicPr preferRelativeResize="0"/>
                            </pic:nvPicPr>
                            <pic:blipFill>
                              <a:blip r:embed="rId11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29802" cy="234887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1307.2265625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48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Oportuna</w:t>
                </w:r>
              </w:p>
              <w:p w:rsidR="00000000" w:rsidDel="00000000" w:rsidP="00000000" w:rsidRDefault="00000000" w:rsidRPr="00000000" w14:paraId="00000049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se publica a tiempo para preservar su valor y ser útil para la toma de</w:t>
                </w:r>
              </w:p>
              <w:p w:rsidR="00000000" w:rsidDel="00000000" w:rsidP="00000000" w:rsidRDefault="00000000" w:rsidRPr="00000000" w14:paraId="0000004A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decisiones de las personas usuarias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4B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4C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Se presenta en el momento en que los visitantes asisten al municipio o previo a la visita, para apoyar en la toma de decisiones.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4D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404741" cy="1599675"/>
                      <wp:effectExtent b="0" l="0" r="0" t="0"/>
                      <wp:docPr id="332" name="image17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7.png"/>
                              <pic:cNvPicPr preferRelativeResize="0"/>
                            </pic:nvPicPr>
                            <pic:blipFill>
                              <a:blip r:embed="rId12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404741" cy="159967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420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4E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Veraz</w:t>
                </w:r>
              </w:p>
              <w:p w:rsidR="00000000" w:rsidDel="00000000" w:rsidP="00000000" w:rsidRDefault="00000000" w:rsidRPr="00000000" w14:paraId="0000004F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sea exacta, refiera o manifieste siempre la verdad respecto de lo generado,</w:t>
                </w:r>
              </w:p>
              <w:p w:rsidR="00000000" w:rsidDel="00000000" w:rsidP="00000000" w:rsidRDefault="00000000" w:rsidRPr="00000000" w14:paraId="00000050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utilizado o publicitado por el Sujeto Obligado</w:t>
                </w:r>
              </w:p>
              <w:p w:rsidR="00000000" w:rsidDel="00000000" w:rsidP="00000000" w:rsidRDefault="00000000" w:rsidRPr="00000000" w14:paraId="00000051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52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53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Se encuentra basado en otras fuentes.</w:t>
                </w:r>
              </w:p>
            </w:tc>
            <w:tc>
              <w:tcPr>
                <w:vMerge w:val="restart"/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54">
                <w:pPr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1791652" cy="1338343"/>
                      <wp:effectExtent b="0" l="0" r="0" t="0"/>
                      <wp:docPr id="335" name="image21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21.png"/>
                              <pic:cNvPicPr preferRelativeResize="0"/>
                            </pic:nvPicPr>
                            <pic:blipFill>
                              <a:blip r:embed="rId13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91652" cy="133834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5">
                <w:pPr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 </w:t>
                </w: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1585293" cy="1282836"/>
                      <wp:effectExtent b="0" l="0" r="0" t="0"/>
                      <wp:docPr id="334" name="image10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0.png"/>
                              <pic:cNvPicPr preferRelativeResize="0"/>
                            </pic:nvPicPr>
                            <pic:blipFill>
                              <a:blip r:embed="rId14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85293" cy="1282836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420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56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Congruente</w:t>
                </w:r>
              </w:p>
              <w:p w:rsidR="00000000" w:rsidDel="00000000" w:rsidP="00000000" w:rsidRDefault="00000000" w:rsidRPr="00000000" w14:paraId="00000057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mantiene relación y coherencia con otra información generada,</w:t>
                </w:r>
              </w:p>
              <w:p w:rsidR="00000000" w:rsidDel="00000000" w:rsidP="00000000" w:rsidRDefault="00000000" w:rsidRPr="00000000" w14:paraId="00000058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utilizada y/o publicada por el Sujeto Obligado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59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5A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El contenido está relacionado con otras fuentes primarias de información como reuniones con artesanos y comerciantes.</w:t>
                </w:r>
              </w:p>
            </w:tc>
            <w:tc>
              <w:tcPr>
                <w:vMerge w:val="continue"/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5B">
                <w:pPr>
                  <w:keepNext w:val="0"/>
                  <w:keepLines w:val="0"/>
                  <w:pageBreakBefore w:val="0"/>
                  <w:widowControl w:val="0"/>
                  <w:pBdr>
                    <w:top w:space="0" w:sz="0" w:val="nil"/>
                    <w:left w:space="0" w:sz="0" w:val="nil"/>
                    <w:bottom w:space="0" w:sz="0" w:val="nil"/>
                    <w:right w:space="0" w:sz="0" w:val="nil"/>
                    <w:between w:space="0" w:sz="0" w:val="nil"/>
                  </w:pBdr>
                  <w:shd w:fill="auto" w:val="clear"/>
                  <w:spacing w:after="0" w:before="0" w:line="276" w:lineRule="auto"/>
                  <w:ind w:left="0" w:right="0" w:firstLine="0"/>
                  <w:jc w:val="left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420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5C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Verificable</w:t>
                </w:r>
              </w:p>
              <w:p w:rsidR="00000000" w:rsidDel="00000000" w:rsidP="00000000" w:rsidRDefault="00000000" w:rsidRPr="00000000" w14:paraId="0000005D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es posible comprobar la veracidad de la información, así como</w:t>
                </w:r>
              </w:p>
              <w:p w:rsidR="00000000" w:rsidDel="00000000" w:rsidP="00000000" w:rsidRDefault="00000000" w:rsidRPr="00000000" w14:paraId="0000005E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examinar el método por el cual el Sujeto Obligado la generó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5F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60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Permite constatar que la información fue obtenida de los pobladores.</w:t>
                </w:r>
              </w:p>
            </w:tc>
            <w:tc>
              <w:tcPr>
                <w:vMerge w:val="continue"/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61">
                <w:pPr>
                  <w:keepNext w:val="0"/>
                  <w:keepLines w:val="0"/>
                  <w:pageBreakBefore w:val="0"/>
                  <w:widowControl w:val="0"/>
                  <w:pBdr>
                    <w:top w:space="0" w:sz="0" w:val="nil"/>
                    <w:left w:space="0" w:sz="0" w:val="nil"/>
                    <w:bottom w:space="0" w:sz="0" w:val="nil"/>
                    <w:right w:space="0" w:sz="0" w:val="nil"/>
                    <w:between w:space="0" w:sz="0" w:val="nil"/>
                  </w:pBdr>
                  <w:shd w:fill="auto" w:val="clear"/>
                  <w:spacing w:after="0" w:before="0" w:line="276" w:lineRule="auto"/>
                  <w:ind w:left="0" w:right="0" w:firstLine="0"/>
                  <w:jc w:val="left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62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Completa</w:t>
                </w:r>
              </w:p>
              <w:p w:rsidR="00000000" w:rsidDel="00000000" w:rsidP="00000000" w:rsidRDefault="00000000" w:rsidRPr="00000000" w14:paraId="00000063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proporcione todos los datos, aspectos, partes o referentes necesarios</w:t>
                </w:r>
              </w:p>
              <w:p w:rsidR="00000000" w:rsidDel="00000000" w:rsidP="00000000" w:rsidRDefault="00000000" w:rsidRPr="00000000" w14:paraId="00000064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para ser global respecto del quehacer del Sujeto Obligado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65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66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Proporciona información y datos del quehacer del Sujeto Obligado.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67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1915478" cy="1865939"/>
                      <wp:effectExtent b="0" l="0" r="0" t="0"/>
                      <wp:docPr id="337" name="image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6.png"/>
                              <pic:cNvPicPr preferRelativeResize="0"/>
                            </pic:nvPicPr>
                            <pic:blipFill>
                              <a:blip r:embed="rId15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15478" cy="1865939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68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Actual</w:t>
                </w:r>
              </w:p>
              <w:p w:rsidR="00000000" w:rsidDel="00000000" w:rsidP="00000000" w:rsidRDefault="00000000" w:rsidRPr="00000000" w14:paraId="00000069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Que es la última versión de la información y es resultado de la adición,</w:t>
                </w:r>
              </w:p>
              <w:p w:rsidR="00000000" w:rsidDel="00000000" w:rsidP="00000000" w:rsidRDefault="00000000" w:rsidRPr="00000000" w14:paraId="0000006A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sz w:val="18"/>
                    <w:szCs w:val="18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8"/>
                    <w:szCs w:val="18"/>
                    <w:rtl w:val="0"/>
                  </w:rPr>
                  <w:t xml:space="preserve">modificación o generación de datos a partir de las acciones y actividades del Sujeto Obligado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6B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6C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Presenta información de fechas recientes.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6D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610802" cy="1540264"/>
                      <wp:effectExtent b="0" l="0" r="0" t="0"/>
                      <wp:docPr id="336" name="image5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5.png"/>
                              <pic:cNvPicPr preferRelativeResize="0"/>
                            </pic:nvPicPr>
                            <pic:blipFill>
                              <a:blip r:embed="rId16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10802" cy="154026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6E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Datos abiertos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6F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4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70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Cuenta con información para descargar en formato CSV.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71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363152" cy="1464489"/>
                      <wp:effectExtent b="0" l="0" r="0" t="0"/>
                      <wp:docPr id="340" name="image15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5.png"/>
                              <pic:cNvPicPr preferRelativeResize="0"/>
                            </pic:nvPicPr>
                            <pic:blipFill>
                              <a:blip r:embed="rId17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63152" cy="1464489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420" w:hRule="atLeast"/>
              <w:tblHeader w:val="0"/>
            </w:trPr>
            <w:tc>
              <w:tcPr>
                <w:gridSpan w:val="4"/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72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2. Contabilización de consultas o reutilización de la información en medios de difusión (0 a 10)</w:t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76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Existencia de mecanismos de registro de consultas y/o reutilización de información</w:t>
                </w:r>
              </w:p>
            </w:tc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77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10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78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Cuenta con contador de visitas.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79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690042" cy="1538898"/>
                      <wp:effectExtent b="0" l="0" r="0" t="0"/>
                      <wp:docPr id="338" name="image8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8.png"/>
                              <pic:cNvPicPr preferRelativeResize="0"/>
                            </pic:nvPicPr>
                            <pic:blipFill>
                              <a:blip r:embed="rId18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90042" cy="153889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1470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7A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Aprovechamiento del registro de consultas y/o reutilización de la información publicada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7B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10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7C">
                <w:pPr>
                  <w:spacing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Se conoce el nivel de alcance.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7D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855571" cy="1608772"/>
                      <wp:effectExtent b="0" l="0" r="0" t="0"/>
                      <wp:docPr id="339" name="image1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6.png"/>
                              <pic:cNvPicPr preferRelativeResize="0"/>
                            </pic:nvPicPr>
                            <pic:blipFill>
                              <a:blip r:embed="rId19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55571" cy="1608772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7E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  <w:rtl w:val="0"/>
                  </w:rPr>
                  <w:t xml:space="preserve">Información extraída del formulario enviado por el sujeto obligado.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375" w:hRule="atLeast"/>
              <w:tblHeader w:val="0"/>
            </w:trPr>
            <w:tc>
              <w:tcPr>
                <w:gridSpan w:val="4"/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7F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3. La participación ciudadana efectiva e informada en el proceso de publicación y difusión de información proactiva (0 a 10)</w:t>
                </w:r>
              </w:p>
            </w:tc>
          </w:tr>
          <w:tr>
            <w:trPr>
              <w:cantSplit w:val="0"/>
              <w:trHeight w:val="2235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83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La implementación de mecanismos de participación ciudadana, como encuestas, estudios de opinión, o cualquier otro ejercicio que derive en la aplicación de algún instrumento o herramienta que posibilite la apertura de las instituciones públicas hacia la participación efectiva de la población que haga uso de la información publicada de manera proactiva</w:t>
                </w:r>
              </w:p>
            </w:tc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84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10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85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Cuenta con encuesta de satisfacción de la información.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86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982765" cy="1642966"/>
                      <wp:effectExtent b="0" l="0" r="0" t="0"/>
                      <wp:docPr id="341" name="image9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9.png"/>
                              <pic:cNvPicPr preferRelativeResize="0"/>
                            </pic:nvPicPr>
                            <pic:blipFill>
                              <a:blip r:embed="rId20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982765" cy="1642966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1230" w:hRule="atLeast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87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El aprovechamiento de los mecanismos de participación ciudadana para la mejora de la publicación y difusión de información proactiva.</w:t>
                </w:r>
              </w:p>
            </w:tc>
            <w:tc>
              <w:tcPr>
                <w:tcBorders>
                  <w:top w:color="cccccc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88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10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89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Para conocer si el contenido es de utilidad para la ciudadanía.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8A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2894408" cy="1637347"/>
                      <wp:effectExtent b="0" l="0" r="0" t="0"/>
                      <wp:docPr id="342" name="image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3.png"/>
                              <pic:cNvPicPr preferRelativeResize="0"/>
                            </pic:nvPicPr>
                            <pic:blipFill>
                              <a:blip r:embed="rId21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94408" cy="1637347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8B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  <w:rtl w:val="0"/>
                  </w:rPr>
                  <w:t xml:space="preserve">Información extraída del formulario enviado por el sujeto obligado.</w:t>
                </w:r>
              </w:p>
              <w:p w:rsidR="00000000" w:rsidDel="00000000" w:rsidP="00000000" w:rsidRDefault="00000000" w:rsidRPr="00000000" w14:paraId="0000008C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8D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8E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8F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90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91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420" w:hRule="atLeast"/>
              <w:tblHeader w:val="0"/>
            </w:trPr>
            <w:tc>
              <w:tcPr>
                <w:gridSpan w:val="4"/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92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4. Efectos positivos generados a partir de la información difundida en el marco de la política de TP (0 a 10)</w:t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96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El diseño e implementación de mecanismos de evaluación de la política de transparencia proactiva por parte de cada Sujeto Obligado</w:t>
                </w:r>
              </w:p>
            </w:tc>
            <w:tc>
              <w:tcPr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97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10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98">
                <w:pPr>
                  <w:spacing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Atracción de los turistas aumentando el desarrollo económico, mayor auge y nutridos los eventos, festividades celebradas en el municipio.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99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3295650" cy="1054100"/>
                      <wp:effectExtent b="0" l="0" r="0" t="0"/>
                      <wp:docPr id="343" name="image7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.png"/>
                              <pic:cNvPicPr preferRelativeResize="0"/>
                            </pic:nvPicPr>
                            <pic:blipFill>
                              <a:blip r:embed="rId22"/>
                              <a:srcRect b="0" l="0" r="-3872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95650" cy="10541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9A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  <w:rtl w:val="0"/>
                  </w:rPr>
                  <w:t xml:space="preserve">Información extraída del formulario enviado por el sujeto obligado.</w:t>
                </w:r>
              </w:p>
              <w:p w:rsidR="00000000" w:rsidDel="00000000" w:rsidP="00000000" w:rsidRDefault="00000000" w:rsidRPr="00000000" w14:paraId="0000009B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9C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9D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9E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9F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A0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A1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  <w:sz w:val="16"/>
                    <w:szCs w:val="16"/>
                    <w:u w:val="single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rHeight w:val="420" w:hRule="atLeast"/>
              <w:tblHeader w:val="0"/>
            </w:trPr>
            <w:tc>
              <w:tcPr>
                <w:gridSpan w:val="4"/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  <w:right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A2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  <w:b w:val="1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b w:val="1"/>
                    <w:rtl w:val="0"/>
                  </w:rPr>
                  <w:t xml:space="preserve">5. La difusión de la información proactiva en medios distintos al internet (0 a 10)</w:t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tcBorders>
                  <w:top w:color="000000" w:space="0" w:sz="8" w:val="single"/>
                  <w:left w:color="000000" w:space="0" w:sz="8" w:val="single"/>
                  <w:bottom w:color="000000" w:space="0" w:sz="8" w:val="single"/>
                </w:tcBorders>
                <w:shd w:fill="d9d9d9" w:val="clear"/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A6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Utilización e implementación de medios alternativos de divulgación de la información proactiva, como radiodifusión, televisión, medios impresos, lonas, perifoneo, pláticas informativas, asesorías, volantes, sistemas de comunicación para personas con discapacidad y otras herramientas específicas dirigidas a grupos con dificultades de uso y acceso a tecnologías de la información.</w:t>
                </w:r>
              </w:p>
            </w:tc>
            <w:tc>
              <w:tcPr>
                <w:tcMar>
                  <w:top w:w="0.0" w:type="dxa"/>
                  <w:left w:w="40.0" w:type="dxa"/>
                  <w:bottom w:w="0.0" w:type="dxa"/>
                  <w:right w:w="40.0" w:type="dxa"/>
                </w:tcMar>
                <w:vAlign w:val="center"/>
              </w:tcPr>
              <w:p w:rsidR="00000000" w:rsidDel="00000000" w:rsidP="00000000" w:rsidRDefault="00000000" w:rsidRPr="00000000" w14:paraId="000000A7">
                <w:pPr>
                  <w:widowControl w:val="0"/>
                  <w:spacing w:after="0" w:line="240" w:lineRule="auto"/>
                  <w:jc w:val="center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10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A8">
                <w:pPr>
                  <w:widowControl w:val="0"/>
                  <w:spacing w:after="0" w:line="240" w:lineRule="auto"/>
                  <w:jc w:val="both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Se ha difundido a través de un módulo de atención al turista y  redes sociales. </w:t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center"/>
              </w:tcPr>
              <w:p w:rsidR="00000000" w:rsidDel="00000000" w:rsidP="00000000" w:rsidRDefault="00000000" w:rsidRPr="00000000" w14:paraId="000000A9">
                <w:pPr>
                  <w:spacing w:line="240" w:lineRule="auto"/>
                  <w:rPr>
                    <w:rFonts w:ascii="Palatino Linotype" w:cs="Palatino Linotype" w:eastAsia="Palatino Linotype" w:hAnsi="Palatino Linotype"/>
                  </w:rPr>
                </w:pP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0" distT="0" distL="0" distR="0">
                      <wp:extent cx="962978" cy="2084979"/>
                      <wp:effectExtent b="0" l="0" r="0" t="0"/>
                      <wp:docPr descr="C:\Users\JOSÉ LUIS ESTRADA\Downloads\WhatsApp Image 2024-06-27 at 5.10.33 PM.jpeg" id="344" name="image2.jpg"/>
                      <a:graphic>
                        <a:graphicData uri="http://schemas.openxmlformats.org/drawingml/2006/picture">
                          <pic:pic>
                            <pic:nvPicPr>
                              <pic:cNvPr descr="C:\Users\JOSÉ LUIS ESTRADA\Downloads\WhatsApp Image 2024-06-27 at 5.10.33 PM.jpeg" id="0" name="image2.jpg"/>
                              <pic:cNvPicPr preferRelativeResize="0"/>
                            </pic:nvPicPr>
                            <pic:blipFill>
                              <a:blip r:embed="rId23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62978" cy="2084979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 </w:t>
                </w: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0" distT="0" distL="0" distR="0">
                      <wp:extent cx="1266825" cy="1168400"/>
                      <wp:effectExtent b="0" l="0" r="0" t="0"/>
                      <wp:docPr descr="C:\Users\JOSÉ LUIS ESTRADA\Downloads\WhatsApp Image 2024-06-27 at 5.40.05 PM.jpeg" id="345" name="image13.jpg"/>
                      <a:graphic>
                        <a:graphicData uri="http://schemas.openxmlformats.org/drawingml/2006/picture">
                          <pic:pic>
                            <pic:nvPicPr>
                              <pic:cNvPr descr="C:\Users\JOSÉ LUIS ESTRADA\Downloads\WhatsApp Image 2024-06-27 at 5.40.05 PM.jpeg" id="0" name="image13.jpg"/>
                              <pic:cNvPicPr preferRelativeResize="0"/>
                            </pic:nvPicPr>
                            <pic:blipFill>
                              <a:blip r:embed="rId24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66825" cy="11684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1070450" cy="1904047"/>
                      <wp:effectExtent b="0" l="0" r="0" t="0"/>
                      <wp:docPr id="346" name="image1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4.png"/>
                              <pic:cNvPicPr preferRelativeResize="0"/>
                            </pic:nvPicPr>
                            <pic:blipFill>
                              <a:blip r:embed="rId25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70450" cy="1904047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Fonts w:ascii="Palatino Linotype" w:cs="Palatino Linotype" w:eastAsia="Palatino Linotype" w:hAnsi="Palatino Linotype"/>
                    <w:rtl w:val="0"/>
                  </w:rPr>
                  <w:t xml:space="preserve"> </w:t>
                </w:r>
                <w:r w:rsidDel="00000000" w:rsidR="00000000" w:rsidRPr="00000000">
                  <w:rPr>
                    <w:rFonts w:ascii="Palatino Linotype" w:cs="Palatino Linotype" w:eastAsia="Palatino Linotype" w:hAnsi="Palatino Linotype"/>
                  </w:rPr>
                  <w:drawing>
                    <wp:inline distB="114300" distT="114300" distL="114300" distR="114300">
                      <wp:extent cx="1023261" cy="1820386"/>
                      <wp:effectExtent b="0" l="0" r="0" t="0"/>
                      <wp:docPr id="347" name="image19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9.png"/>
                              <pic:cNvPicPr preferRelativeResize="0"/>
                            </pic:nvPicPr>
                            <pic:blipFill>
                              <a:blip r:embed="rId26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23261" cy="1820386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AA">
      <w:pPr>
        <w:spacing w:after="240" w:line="276" w:lineRule="auto"/>
        <w:ind w:left="-708" w:firstLine="0"/>
        <w:rPr>
          <w:rFonts w:ascii="Palatino Linotype" w:cs="Palatino Linotype" w:eastAsia="Palatino Linotype" w:hAnsi="Palatino Linotype"/>
          <w:b w:val="1"/>
        </w:rPr>
      </w:pPr>
      <w:bookmarkStart w:colFirst="0" w:colLast="0" w:name="_heading=h.uye03zr0ncmu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jc w:val="both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sectPr>
      <w:headerReference r:id="rId27" w:type="default"/>
      <w:footerReference r:id="rId28" w:type="default"/>
      <w:pgSz w:h="12240" w:w="15840" w:orient="landscape"/>
      <w:pgMar w:bottom="426" w:top="703" w:left="1701" w:right="1701" w:header="284" w:footer="1251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  <w:font w:name="Palatino Linotyp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Arial Black">
    <w:embedRegular w:fontKey="{00000000-0000-0000-0000-000000000000}" r:id="rId5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D">
    <w:pPr>
      <w:jc w:val="center"/>
      <w:rPr>
        <w:rFonts w:ascii="Arial Black" w:cs="Arial Black" w:eastAsia="Arial Black" w:hAnsi="Arial Black"/>
        <w:b w:val="1"/>
        <w:sz w:val="28"/>
        <w:szCs w:val="28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AE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rPr>
        <w:rFonts w:ascii="Palatino Linotype" w:cs="Palatino Linotype" w:eastAsia="Palatino Linotype" w:hAnsi="Palatino Linotyp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AF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jc w:val="right"/>
      <w:rPr>
        <w:rFonts w:ascii="Palatino Linotype" w:cs="Palatino Linotype" w:eastAsia="Palatino Linotype" w:hAnsi="Palatino Linotype"/>
      </w:rPr>
    </w:pPr>
    <w:r w:rsidDel="00000000" w:rsidR="00000000" w:rsidRPr="00000000">
      <w:rPr>
        <w:rFonts w:ascii="Palatino Linotype" w:cs="Palatino Linotype" w:eastAsia="Palatino Linotype" w:hAnsi="Palatino Linotyp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AC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ind w:hanging="709"/>
      <w:rPr>
        <w:color w:val="000000"/>
      </w:rPr>
    </w:pPr>
    <w:r w:rsidDel="00000000" w:rsidR="00000000" w:rsidRPr="00000000">
      <w:rPr/>
      <w:drawing>
        <wp:inline distB="0" distT="0" distL="0" distR="0">
          <wp:extent cx="1219200" cy="603250"/>
          <wp:effectExtent b="0" l="0" r="0" t="0"/>
          <wp:docPr descr="https://lh6.googleusercontent.com/jNsTCK7SJZV1G9JWz3KsjecHRN4qJBWoT1yqJ8zI3zdP1eyDVhfsZPKAbxD-9PH4L81amB6R4ly7ryAICARerfuunqGa48sgff2NtmnjPGjMrXalaO6TgZ9QPIAQbCVvAvSzKqdARw2yNhE-5_s2eg" id="348" name="image12.png"/>
          <a:graphic>
            <a:graphicData uri="http://schemas.openxmlformats.org/drawingml/2006/picture">
              <pic:pic>
                <pic:nvPicPr>
                  <pic:cNvPr descr="https://lh6.googleusercontent.com/jNsTCK7SJZV1G9JWz3KsjecHRN4qJBWoT1yqJ8zI3zdP1eyDVhfsZPKAbxD-9PH4L81amB6R4ly7ryAICARerfuunqGa48sgff2NtmnjPGjMrXalaO6TgZ9QPIAQbCVvAvSzKqdARw2yNhE-5_s2eg" id="0" name="image12.png"/>
                  <pic:cNvPicPr preferRelativeResize="0"/>
                </pic:nvPicPr>
                <pic:blipFill>
                  <a:blip r:embed="rId1"/>
                  <a:srcRect b="25357" l="27474" r="25000" t="5795"/>
                  <a:stretch>
                    <a:fillRect/>
                  </a:stretch>
                </pic:blipFill>
                <pic:spPr>
                  <a:xfrm>
                    <a:off x="0" y="0"/>
                    <a:ext cx="1219200" cy="60325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-1094420</wp:posOffset>
          </wp:positionH>
          <wp:positionV relativeFrom="paragraph">
            <wp:posOffset>-85723</wp:posOffset>
          </wp:positionV>
          <wp:extent cx="10076498" cy="7696200"/>
          <wp:effectExtent b="0" l="0" r="0" t="0"/>
          <wp:wrapNone/>
          <wp:docPr descr="Imagen que contiene Gráfico de superficie&#10;&#10;Descripción generada automáticamente" id="328" name="image1.png"/>
          <a:graphic>
            <a:graphicData uri="http://schemas.openxmlformats.org/drawingml/2006/picture">
              <pic:pic>
                <pic:nvPicPr>
                  <pic:cNvPr descr="Imagen que contiene Gráfico de superficie&#10;&#10;Descripción generada automáticamente" id="0" name="image1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0076498" cy="7696200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s-MX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Ttulo1">
    <w:name w:val="heading 1"/>
    <w:basedOn w:val="Normal"/>
    <w:next w:val="Normal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Ttulo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Ttulo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Ttulo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Ttulo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Ttulo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Puesto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table" w:styleId="TableNormal0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1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2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3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4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5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6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Encabezado">
    <w:name w:val="header"/>
    <w:basedOn w:val="Normal"/>
    <w:link w:val="EncabezadoCar"/>
    <w:uiPriority w:val="99"/>
    <w:unhideWhenUsed w:val="1"/>
    <w:rsid w:val="005709AD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5709AD"/>
    <w:rPr>
      <w:lang w:val="es-MX"/>
    </w:rPr>
  </w:style>
  <w:style w:type="paragraph" w:styleId="Piedepgina">
    <w:name w:val="footer"/>
    <w:basedOn w:val="Normal"/>
    <w:link w:val="PiedepginaCar"/>
    <w:uiPriority w:val="99"/>
    <w:unhideWhenUsed w:val="1"/>
    <w:rsid w:val="005709AD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5709AD"/>
    <w:rPr>
      <w:lang w:val="es-MX"/>
    </w:rPr>
  </w:style>
  <w:style w:type="paragraph" w:styleId="Prrafodelista">
    <w:name w:val="List Paragraph"/>
    <w:basedOn w:val="Normal"/>
    <w:uiPriority w:val="34"/>
    <w:qFormat w:val="1"/>
    <w:rsid w:val="00CA6134"/>
    <w:pPr>
      <w:ind w:left="720"/>
      <w:contextualSpacing w:val="1"/>
    </w:pPr>
  </w:style>
  <w:style w:type="character" w:styleId="Hipervnculo">
    <w:name w:val="Hyperlink"/>
    <w:basedOn w:val="Fuentedeprrafopredeter"/>
    <w:uiPriority w:val="99"/>
    <w:unhideWhenUsed w:val="1"/>
    <w:rsid w:val="00CA6134"/>
    <w:rPr>
      <w:color w:val="0563c1" w:themeColor="hyperlink"/>
      <w:u w:val="single"/>
    </w:rPr>
  </w:style>
  <w:style w:type="paragraph" w:styleId="Subttulo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6"/>
    <w:tblPr>
      <w:tblStyleRowBandSize w:val="1"/>
      <w:tblStyleColBandSize w:val="1"/>
      <w:tblCellMar>
        <w:top w:w="41.0" w:type="dxa"/>
        <w:left w:w="106.0" w:type="dxa"/>
        <w:bottom w:w="0.0" w:type="dxa"/>
        <w:right w:w="67.0" w:type="dxa"/>
      </w:tblCellMar>
    </w:tblPr>
  </w:style>
  <w:style w:type="table" w:styleId="a0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73.0" w:type="dxa"/>
      </w:tblCellMar>
    </w:tblPr>
  </w:style>
  <w:style w:type="table" w:styleId="a1" w:customStyle="1">
    <w:basedOn w:val="TableNormal6"/>
    <w:tblPr>
      <w:tblStyleRowBandSize w:val="1"/>
      <w:tblStyleColBandSize w:val="1"/>
      <w:tblCellMar>
        <w:top w:w="41.0" w:type="dxa"/>
        <w:left w:w="0.0" w:type="dxa"/>
        <w:bottom w:w="0.0" w:type="dxa"/>
        <w:right w:w="60.0" w:type="dxa"/>
      </w:tblCellMar>
    </w:tblPr>
  </w:style>
  <w:style w:type="table" w:styleId="a2" w:customStyle="1">
    <w:basedOn w:val="TableNormal6"/>
    <w:tblPr>
      <w:tblStyleRowBandSize w:val="1"/>
      <w:tblStyleColBandSize w:val="1"/>
      <w:tblCellMar>
        <w:top w:w="41.0" w:type="dxa"/>
        <w:left w:w="0.0" w:type="dxa"/>
        <w:bottom w:w="0.0" w:type="dxa"/>
        <w:right w:w="62.0" w:type="dxa"/>
      </w:tblCellMar>
    </w:tblPr>
  </w:style>
  <w:style w:type="table" w:styleId="a3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70.0" w:type="dxa"/>
      </w:tblCellMar>
    </w:tblPr>
  </w:style>
  <w:style w:type="table" w:styleId="a4" w:customStyle="1">
    <w:basedOn w:val="TableNormal6"/>
    <w:tblPr>
      <w:tblStyleRowBandSize w:val="1"/>
      <w:tblStyleColBandSize w:val="1"/>
      <w:tblCellMar>
        <w:top w:w="40.0" w:type="dxa"/>
        <w:left w:w="0.0" w:type="dxa"/>
        <w:bottom w:w="0.0" w:type="dxa"/>
        <w:right w:w="26.0" w:type="dxa"/>
      </w:tblCellMar>
    </w:tblPr>
  </w:style>
  <w:style w:type="table" w:styleId="a5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71.0" w:type="dxa"/>
      </w:tblCellMar>
    </w:tblPr>
  </w:style>
  <w:style w:type="table" w:styleId="a6" w:customStyle="1">
    <w:basedOn w:val="TableNormal6"/>
    <w:tblPr>
      <w:tblStyleRowBandSize w:val="1"/>
      <w:tblStyleColBandSize w:val="1"/>
      <w:tblCellMar>
        <w:top w:w="40.0" w:type="dxa"/>
        <w:left w:w="0.0" w:type="dxa"/>
        <w:bottom w:w="0.0" w:type="dxa"/>
        <w:right w:w="12.0" w:type="dxa"/>
      </w:tblCellMar>
    </w:tblPr>
  </w:style>
  <w:style w:type="table" w:styleId="a7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69.0" w:type="dxa"/>
      </w:tblCellMar>
    </w:tblPr>
  </w:style>
  <w:style w:type="table" w:styleId="a8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70.0" w:type="dxa"/>
      </w:tblCellMar>
    </w:tblPr>
  </w:style>
  <w:style w:type="table" w:styleId="a9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67.0" w:type="dxa"/>
      </w:tblCellMar>
    </w:tblPr>
  </w:style>
  <w:style w:type="table" w:styleId="aa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70.0" w:type="dxa"/>
      </w:tblCellMar>
    </w:tblPr>
  </w:style>
  <w:style w:type="table" w:styleId="ab" w:customStyle="1">
    <w:basedOn w:val="TableNormal6"/>
    <w:tblPr>
      <w:tblStyleRowBandSize w:val="1"/>
      <w:tblStyleColBandSize w:val="1"/>
      <w:tblCellMar>
        <w:top w:w="41.0" w:type="dxa"/>
        <w:left w:w="107.0" w:type="dxa"/>
        <w:bottom w:w="0.0" w:type="dxa"/>
        <w:right w:w="71.0" w:type="dxa"/>
      </w:tblCellMar>
    </w:tblPr>
  </w:style>
  <w:style w:type="table" w:styleId="ac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d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e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0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1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2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3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4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5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6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7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8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9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a" w:customStyle="1">
    <w:basedOn w:val="TableNormal6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character" w:styleId="Nmerodepgina">
    <w:name w:val="page number"/>
    <w:basedOn w:val="Fuentedeprrafopredeter"/>
    <w:uiPriority w:val="99"/>
    <w:semiHidden w:val="1"/>
    <w:unhideWhenUsed w:val="1"/>
    <w:rsid w:val="00B6330C"/>
  </w:style>
  <w:style w:type="character" w:styleId="Mencinsinresolver1" w:customStyle="1">
    <w:name w:val="Mención sin resolver1"/>
    <w:basedOn w:val="Fuentedeprrafopredeter"/>
    <w:uiPriority w:val="99"/>
    <w:semiHidden w:val="1"/>
    <w:unhideWhenUsed w:val="1"/>
    <w:rsid w:val="001E5A88"/>
    <w:rPr>
      <w:color w:val="605e5c"/>
      <w:shd w:color="auto" w:fill="e1dfdd" w:val="clear"/>
    </w:rPr>
  </w:style>
  <w:style w:type="table" w:styleId="afb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c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d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e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0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1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2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3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4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5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6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7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8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9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a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b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c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d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e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0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1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2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3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4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5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6" w:customStyle="1">
    <w:basedOn w:val="TableNormal5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7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8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9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a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b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c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d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e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0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1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2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3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table" w:styleId="affff4" w:customStyle="1">
    <w:basedOn w:val="TableNormal3"/>
    <w:tblPr>
      <w:tblStyleRowBandSize w:val="1"/>
      <w:tblStyleColBandSize w:val="1"/>
      <w:tblCellMar>
        <w:top w:w="41.0" w:type="dxa"/>
        <w:left w:w="827.0" w:type="dxa"/>
        <w:bottom w:w="0.0" w:type="dxa"/>
        <w:right w:w="115.0" w:type="dxa"/>
      </w:tblCellMar>
    </w:tblPr>
  </w:style>
  <w:style w:type="paragraph" w:styleId="NormalWeb">
    <w:name w:val="Normal (Web)"/>
    <w:basedOn w:val="Normal"/>
    <w:uiPriority w:val="99"/>
    <w:unhideWhenUsed w:val="1"/>
    <w:rsid w:val="00195077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22" Type="http://schemas.openxmlformats.org/officeDocument/2006/relationships/image" Target="media/image7.png"/><Relationship Id="rId21" Type="http://schemas.openxmlformats.org/officeDocument/2006/relationships/image" Target="media/image3.png"/><Relationship Id="rId24" Type="http://schemas.openxmlformats.org/officeDocument/2006/relationships/image" Target="media/image13.jpg"/><Relationship Id="rId23" Type="http://schemas.openxmlformats.org/officeDocument/2006/relationships/image" Target="media/image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8.png"/><Relationship Id="rId26" Type="http://schemas.openxmlformats.org/officeDocument/2006/relationships/image" Target="media/image19.png"/><Relationship Id="rId25" Type="http://schemas.openxmlformats.org/officeDocument/2006/relationships/image" Target="media/image14.png"/><Relationship Id="rId28" Type="http://schemas.openxmlformats.org/officeDocument/2006/relationships/footer" Target="footer1.xml"/><Relationship Id="rId27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20.png"/><Relationship Id="rId8" Type="http://schemas.openxmlformats.org/officeDocument/2006/relationships/hyperlink" Target="https://tenancingo.gob.mx/Turismo.html" TargetMode="External"/><Relationship Id="rId11" Type="http://schemas.openxmlformats.org/officeDocument/2006/relationships/image" Target="media/image11.png"/><Relationship Id="rId10" Type="http://schemas.openxmlformats.org/officeDocument/2006/relationships/image" Target="media/image4.png"/><Relationship Id="rId13" Type="http://schemas.openxmlformats.org/officeDocument/2006/relationships/image" Target="media/image21.png"/><Relationship Id="rId12" Type="http://schemas.openxmlformats.org/officeDocument/2006/relationships/image" Target="media/image17.png"/><Relationship Id="rId15" Type="http://schemas.openxmlformats.org/officeDocument/2006/relationships/image" Target="media/image6.png"/><Relationship Id="rId14" Type="http://schemas.openxmlformats.org/officeDocument/2006/relationships/image" Target="media/image10.png"/><Relationship Id="rId17" Type="http://schemas.openxmlformats.org/officeDocument/2006/relationships/image" Target="media/image15.png"/><Relationship Id="rId16" Type="http://schemas.openxmlformats.org/officeDocument/2006/relationships/image" Target="media/image5.png"/><Relationship Id="rId19" Type="http://schemas.openxmlformats.org/officeDocument/2006/relationships/image" Target="media/image16.png"/><Relationship Id="rId18" Type="http://schemas.openxmlformats.org/officeDocument/2006/relationships/image" Target="media/image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alatinoLinotype-regular.ttf"/><Relationship Id="rId2" Type="http://schemas.openxmlformats.org/officeDocument/2006/relationships/font" Target="fonts/PalatinoLinotype-bold.ttf"/><Relationship Id="rId3" Type="http://schemas.openxmlformats.org/officeDocument/2006/relationships/font" Target="fonts/PalatinoLinotype-italic.ttf"/><Relationship Id="rId4" Type="http://schemas.openxmlformats.org/officeDocument/2006/relationships/font" Target="fonts/PalatinoLinotype-boldItalic.ttf"/><Relationship Id="rId5" Type="http://schemas.openxmlformats.org/officeDocument/2006/relationships/font" Target="fonts/ArialBlack-regular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2.png"/><Relationship Id="rId2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8msLYxmZV1sGF9sq/HHhYGaqyUQ==">CgMxLjAaHwoBMBIaChgICVIUChJ0YWJsZS44Y3oyYTRvbTRoczcyCWguMzBqMHpsbDINaC41N2o1N3JpOHUxNDIOaC55MmZkbmJvZnRoMjkyDmgudXllMDN6cjBuY211OAByITFKZEpjd3NxWWNTZzlSUHE0ZTNIamV1ZjAxM0FNQ1lZRw==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2023-07-10T20:15:00Z</dcterms:created>
  <dc:creator>Jonathan Guillermo Munoz Acevedo</dc:creator>
</cp:coreProperties>
</file>